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05105C5A" w14:textId="7E7EF6BD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Szczegółowy opis przedmiotu zamówienia dotyczący </w:t>
      </w:r>
      <w:r>
        <w:rPr>
          <w:rFonts w:asciiTheme="minorHAnsi" w:hAnsiTheme="minorHAnsi" w:cstheme="minorHAnsi"/>
          <w:color w:val="auto"/>
          <w:sz w:val="22"/>
          <w:szCs w:val="20"/>
        </w:rPr>
        <w:t>wykonania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robót budowlano – remontowych </w:t>
      </w:r>
      <w:r w:rsidR="00E8633D" w:rsidRPr="005423B5">
        <w:rPr>
          <w:rFonts w:asciiTheme="minorHAnsi" w:hAnsiTheme="minorHAnsi" w:cstheme="minorHAnsi"/>
          <w:color w:val="auto"/>
          <w:sz w:val="22"/>
          <w:szCs w:val="20"/>
        </w:rPr>
        <w:t>budynk</w:t>
      </w:r>
      <w:r w:rsidR="00E8633D">
        <w:rPr>
          <w:rFonts w:asciiTheme="minorHAnsi" w:hAnsiTheme="minorHAnsi" w:cstheme="minorHAnsi"/>
          <w:color w:val="auto"/>
          <w:sz w:val="22"/>
          <w:szCs w:val="20"/>
        </w:rPr>
        <w:t>u</w:t>
      </w:r>
      <w:r w:rsidR="00E8633D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wpisan</w:t>
      </w:r>
      <w:r w:rsidR="00E8633D">
        <w:rPr>
          <w:rFonts w:asciiTheme="minorHAnsi" w:hAnsiTheme="minorHAnsi" w:cstheme="minorHAnsi"/>
          <w:color w:val="auto"/>
          <w:sz w:val="22"/>
          <w:szCs w:val="20"/>
        </w:rPr>
        <w:t>ego</w:t>
      </w:r>
      <w:r w:rsidR="00E8633D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do rejestru zabytków, w </w:t>
      </w:r>
      <w:r w:rsidR="0023366E" w:rsidRPr="005423B5">
        <w:rPr>
          <w:rFonts w:asciiTheme="minorHAnsi" w:hAnsiTheme="minorHAnsi" w:cstheme="minorHAnsi"/>
          <w:color w:val="auto"/>
          <w:sz w:val="22"/>
          <w:szCs w:val="20"/>
        </w:rPr>
        <w:t>zadani</w:t>
      </w:r>
      <w:r w:rsidR="0023366E">
        <w:rPr>
          <w:rFonts w:asciiTheme="minorHAnsi" w:hAnsiTheme="minorHAnsi" w:cstheme="minorHAnsi"/>
          <w:color w:val="auto"/>
          <w:sz w:val="22"/>
          <w:szCs w:val="20"/>
        </w:rPr>
        <w:t>u</w:t>
      </w:r>
      <w:r w:rsidR="0023366E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inwestycyjny</w:t>
      </w:r>
      <w:r w:rsidR="0023366E">
        <w:rPr>
          <w:rFonts w:asciiTheme="minorHAnsi" w:hAnsiTheme="minorHAnsi" w:cstheme="minorHAnsi"/>
          <w:color w:val="auto"/>
          <w:sz w:val="22"/>
          <w:szCs w:val="20"/>
        </w:rPr>
        <w:t>m</w:t>
      </w:r>
      <w:r w:rsidR="0023366E"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>– projek</w:t>
      </w:r>
      <w:r w:rsidR="0023366E">
        <w:rPr>
          <w:rFonts w:asciiTheme="minorHAnsi" w:hAnsiTheme="minorHAnsi" w:cstheme="minorHAnsi"/>
          <w:color w:val="auto"/>
          <w:sz w:val="22"/>
          <w:szCs w:val="20"/>
        </w:rPr>
        <w:t>cie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pod nazwą:</w:t>
      </w:r>
    </w:p>
    <w:p w14:paraId="0A98D6C0" w14:textId="67CCA1A6" w:rsidR="00B71EE3" w:rsidRPr="00405256" w:rsidRDefault="00F56822" w:rsidP="0045697E">
      <w:pPr>
        <w:contextualSpacing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bookmarkStart w:id="0" w:name="_GoBack"/>
      <w:r w:rsidRPr="005D3745">
        <w:rPr>
          <w:rFonts w:asciiTheme="minorHAnsi" w:hAnsiTheme="minorHAnsi" w:cstheme="minorHAnsi"/>
          <w:b/>
          <w:sz w:val="20"/>
          <w:szCs w:val="20"/>
        </w:rPr>
        <w:t>„Przebudowa oraz remont konserwatorski budynku Muzeum Stylu Zakopiańskiego willa „Koliba”</w:t>
      </w:r>
      <w:r w:rsidR="00E863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5256"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>w ramach projektu pod nazwą „Rewaloryzacja i modernizacja zabytkowych, drewnianych budynków Muzeum Tatrzańskiego w Zakopanem dla zachowania i prezentacji unikatowego dziedzictwa kulturowego Podhala”, współfinansowanego ze środków Unii Europejskiej w ramach Programu Operacyjnego Infrastruktura i Środowisko 2014 – 2020 (w ramach 8.1 Ochrona dziedzictwa kulturowego i rozwój zasobów kultury oś priorytetowa VIII Ochrona dziedzictwa kulturowego i rozwój zasobów kultury).</w:t>
      </w:r>
    </w:p>
    <w:bookmarkEnd w:id="0"/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3053100E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7D9BAFAA" w14:textId="77777777" w:rsidR="00392CEC" w:rsidRDefault="00392CEC" w:rsidP="00392CEC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ind w:left="567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6491E">
        <w:rPr>
          <w:rFonts w:asciiTheme="minorHAnsi" w:hAnsiTheme="minorHAnsi" w:cstheme="minorHAnsi"/>
          <w:sz w:val="20"/>
          <w:szCs w:val="20"/>
        </w:rPr>
        <w:t>Muzeum Stylu Zakopiańskiego w willi Koliba</w:t>
      </w:r>
    </w:p>
    <w:p w14:paraId="58AF1101" w14:textId="77777777" w:rsidR="00392CEC" w:rsidRDefault="00392CEC" w:rsidP="00392CEC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Decyzja nr 403</w:t>
      </w:r>
      <w:r w:rsidRPr="005423B5">
        <w:rPr>
          <w:rFonts w:asciiTheme="minorHAnsi" w:hAnsiTheme="minorHAnsi" w:cstheme="minorHAnsi"/>
          <w:sz w:val="20"/>
          <w:szCs w:val="20"/>
        </w:rPr>
        <w:t xml:space="preserve">/16 </w:t>
      </w:r>
      <w:r>
        <w:rPr>
          <w:rFonts w:asciiTheme="minorHAnsi" w:hAnsiTheme="minorHAnsi" w:cstheme="minorHAnsi"/>
          <w:sz w:val="20"/>
          <w:szCs w:val="20"/>
        </w:rPr>
        <w:t>Starosty Tatrzańskiego z dnia 03</w:t>
      </w:r>
      <w:r w:rsidRPr="005423B5">
        <w:rPr>
          <w:rFonts w:asciiTheme="minorHAnsi" w:hAnsiTheme="minorHAnsi" w:cstheme="minorHAnsi"/>
          <w:sz w:val="20"/>
          <w:szCs w:val="20"/>
        </w:rPr>
        <w:t>.11.2016 r. o pozwolenie na budowę.</w:t>
      </w:r>
    </w:p>
    <w:p w14:paraId="4F2C4421" w14:textId="77777777" w:rsidR="00392CEC" w:rsidRPr="0046491E" w:rsidRDefault="00392CEC" w:rsidP="00392CEC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Postanowienie do decyzji nr 403/16 z dnia 03</w:t>
      </w:r>
      <w:r w:rsidRPr="005423B5">
        <w:rPr>
          <w:rFonts w:asciiTheme="minorHAnsi" w:hAnsiTheme="minorHAnsi" w:cstheme="minorHAnsi"/>
          <w:sz w:val="20"/>
          <w:szCs w:val="20"/>
        </w:rPr>
        <w:t>.11.2016 r. Starosta Tatrzańskiego nadaje rygor natych</w:t>
      </w:r>
      <w:r>
        <w:rPr>
          <w:rFonts w:asciiTheme="minorHAnsi" w:hAnsiTheme="minorHAnsi" w:cstheme="minorHAnsi"/>
          <w:sz w:val="20"/>
          <w:szCs w:val="20"/>
        </w:rPr>
        <w:t>miastowej wykonalności w dniu 08</w:t>
      </w:r>
      <w:r w:rsidRPr="005423B5">
        <w:rPr>
          <w:rFonts w:asciiTheme="minorHAnsi" w:hAnsiTheme="minorHAnsi" w:cstheme="minorHAnsi"/>
          <w:sz w:val="20"/>
          <w:szCs w:val="20"/>
        </w:rPr>
        <w:t>.11.2016 r.</w:t>
      </w: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03D98A35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4B97B439" w14:textId="77777777" w:rsidR="00392CEC" w:rsidRPr="005423B5" w:rsidRDefault="00392CEC" w:rsidP="00392CEC">
      <w:pPr>
        <w:pStyle w:val="Akapitzlist"/>
        <w:numPr>
          <w:ilvl w:val="1"/>
          <w:numId w:val="4"/>
        </w:numPr>
        <w:autoSpaceDE w:val="0"/>
        <w:autoSpaceDN w:val="0"/>
        <w:spacing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4DFD7F46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3A7368">
        <w:rPr>
          <w:rFonts w:asciiTheme="minorHAnsi" w:hAnsiTheme="minorHAnsi" w:cstheme="minorHAnsi"/>
          <w:sz w:val="20"/>
          <w:szCs w:val="20"/>
        </w:rPr>
        <w:t>(</w:t>
      </w:r>
      <w:r w:rsidRPr="003A7368">
        <w:rPr>
          <w:rFonts w:asciiTheme="minorHAnsi" w:hAnsiTheme="minorHAnsi" w:cstheme="minorHAnsi"/>
          <w:sz w:val="20"/>
          <w:szCs w:val="20"/>
        </w:rPr>
        <w:t>,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przyłączy:- 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EA574E2" w14:textId="7C1A767B" w:rsidR="003A7368" w:rsidRPr="005423B5" w:rsidRDefault="003A7368" w:rsidP="00405256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135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E294DB" w14:textId="77777777" w:rsidR="00392CEC" w:rsidRPr="005423B5" w:rsidRDefault="00392CEC" w:rsidP="00405256">
      <w:pPr>
        <w:pStyle w:val="Akapitzlist"/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left="135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77777777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Specyfikacje Techniczne Wykonania i Odbioru Robót: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392CEC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lastRenderedPageBreak/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5EEE013" w14:textId="77777777" w:rsidR="00392CEC" w:rsidRPr="005423B5" w:rsidRDefault="00392CEC" w:rsidP="00392CEC">
      <w:pPr>
        <w:pStyle w:val="Akapitzlist"/>
        <w:numPr>
          <w:ilvl w:val="0"/>
          <w:numId w:val="4"/>
        </w:numPr>
        <w:spacing w:before="120" w:after="12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Opis </w:t>
      </w:r>
      <w:r>
        <w:rPr>
          <w:rFonts w:asciiTheme="minorHAnsi" w:hAnsiTheme="minorHAnsi" w:cstheme="minorHAnsi"/>
          <w:b/>
          <w:sz w:val="20"/>
          <w:szCs w:val="20"/>
        </w:rPr>
        <w:t>zamierzenia inwestycyjnego</w:t>
      </w:r>
      <w:r w:rsidRPr="005423B5">
        <w:rPr>
          <w:rFonts w:asciiTheme="minorHAnsi" w:hAnsiTheme="minorHAnsi" w:cstheme="minorHAnsi"/>
          <w:b/>
          <w:sz w:val="20"/>
          <w:szCs w:val="20"/>
        </w:rPr>
        <w:t>:</w:t>
      </w:r>
    </w:p>
    <w:p w14:paraId="78170361" w14:textId="6AD472B3" w:rsidR="00392CEC" w:rsidRPr="00DA59D2" w:rsidRDefault="00392CEC" w:rsidP="00392CEC">
      <w:pPr>
        <w:pStyle w:val="Akapitzlist"/>
        <w:numPr>
          <w:ilvl w:val="1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Opis </w:t>
      </w:r>
      <w:r w:rsidR="00CB6587">
        <w:rPr>
          <w:rFonts w:asciiTheme="minorHAnsi" w:hAnsiTheme="minorHAnsi" w:cstheme="minorHAnsi"/>
          <w:b/>
          <w:sz w:val="20"/>
          <w:szCs w:val="20"/>
        </w:rPr>
        <w:t>zamierzenia inwestycyjnego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dla zadania – budynek:</w:t>
      </w:r>
    </w:p>
    <w:p w14:paraId="0C27BE8C" w14:textId="09DB2FE9" w:rsidR="00392CEC" w:rsidRPr="005423B5" w:rsidRDefault="00392CEC" w:rsidP="00392CEC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Inwestycja</w:t>
      </w:r>
      <w:r w:rsidRPr="00B0582D">
        <w:rPr>
          <w:rFonts w:asciiTheme="minorHAnsi" w:hAnsiTheme="minorHAnsi" w:cstheme="minorHAnsi"/>
          <w:sz w:val="20"/>
          <w:szCs w:val="20"/>
        </w:rPr>
        <w:t xml:space="preserve"> obejmować będzie remont konserwatorski i modernizację budynku muzeum  stylu zakopiańskiego w willi „Koliba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0582D">
        <w:rPr>
          <w:rFonts w:asciiTheme="minorHAnsi" w:hAnsiTheme="minorHAnsi" w:cstheme="minorHAnsi"/>
          <w:sz w:val="20"/>
          <w:szCs w:val="20"/>
        </w:rPr>
        <w:t>: (piwnice, parter, I piętro i poddasze) wraz z instalacjami i sieciami oraz zagospodarowaniem terenu.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F7D4B">
        <w:rPr>
          <w:rFonts w:asciiTheme="minorHAnsi" w:hAnsiTheme="minorHAnsi" w:cstheme="minorHAnsi"/>
          <w:sz w:val="20"/>
          <w:szCs w:val="20"/>
        </w:rPr>
        <w:t>Szczegółowy zakres zadania A został ujęty w dokumentach określonych w pkt I.1 i I.2 niniejszego dokumentu. W szczególności obejmuje on następujące prace:</w:t>
      </w:r>
    </w:p>
    <w:p w14:paraId="6BC5AF9D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EF0110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Przewiduje się wykonanie nowego płotu  z żerdzi drewnianych oraz nowe aleje z podbudową o nawierzchni szutrowej. </w:t>
      </w:r>
    </w:p>
    <w:p w14:paraId="0108935D" w14:textId="77777777" w:rsidR="00392CEC" w:rsidRPr="00B0582D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Przewiduje się także chodniki betonowe oraz małą architekturę wraz z uporządkowaniem zieleni.</w:t>
      </w:r>
    </w:p>
    <w:p w14:paraId="410A1460" w14:textId="77777777" w:rsidR="00392CEC" w:rsidRPr="00B0582D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W zakresie rozbiórek i wyburzeń planuje się rozbiórkę schodów po stronie północnej budynku.</w:t>
      </w:r>
    </w:p>
    <w:p w14:paraId="3ABC8C8E" w14:textId="77777777" w:rsidR="00392CEC" w:rsidRPr="0046182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W ramach projektu realizowane będzie uporządkowanie </w:t>
      </w:r>
      <w:r>
        <w:rPr>
          <w:rFonts w:asciiTheme="minorHAnsi" w:hAnsiTheme="minorHAnsi" w:cstheme="minorHAnsi"/>
          <w:sz w:val="20"/>
          <w:szCs w:val="20"/>
        </w:rPr>
        <w:t xml:space="preserve">i zagospodarowanie terenu przy </w:t>
      </w:r>
      <w:r w:rsidRPr="00492E98">
        <w:rPr>
          <w:rFonts w:asciiTheme="minorHAnsi" w:hAnsiTheme="minorHAnsi" w:cstheme="minorHAnsi"/>
          <w:sz w:val="20"/>
          <w:szCs w:val="20"/>
        </w:rPr>
        <w:t>ul. </w:t>
      </w:r>
      <w:r w:rsidRPr="0046182C">
        <w:rPr>
          <w:rFonts w:asciiTheme="minorHAnsi" w:hAnsiTheme="minorHAnsi" w:cstheme="minorHAnsi"/>
          <w:sz w:val="20"/>
          <w:szCs w:val="20"/>
        </w:rPr>
        <w:t>Kościeliskiej.</w:t>
      </w:r>
    </w:p>
    <w:p w14:paraId="6E68F52E" w14:textId="77777777" w:rsidR="00392CEC" w:rsidRPr="00DA59D2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B92DE7F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zewnętrznych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E807B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Budynek posiada p</w:t>
      </w:r>
      <w:r w:rsidRPr="00492E98">
        <w:rPr>
          <w:rFonts w:asciiTheme="minorHAnsi" w:hAnsiTheme="minorHAnsi" w:cstheme="minorHAnsi"/>
          <w:sz w:val="20"/>
          <w:szCs w:val="20"/>
        </w:rPr>
        <w:t>rzyłącz wody, prądu i kanalizacj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92E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(do miejskiego kolektora)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43E06D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 przewiduje wykonanie przyłącza geotermalnego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058519" w14:textId="38C9B398" w:rsidR="00392CEC" w:rsidRPr="00742C60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Przebudowie podlegać będzie przyłącz elektryczny.</w:t>
      </w:r>
    </w:p>
    <w:p w14:paraId="7FCFDF34" w14:textId="77777777" w:rsidR="00392CEC" w:rsidRPr="00DA59D2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drenaż opaskowy z którego wody opadowe będą odprowadzane do pobliskiej rzeki.</w:t>
      </w:r>
    </w:p>
    <w:p w14:paraId="64B2C6E6" w14:textId="77777777" w:rsidR="00392CEC" w:rsidRPr="00DA59D2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9854CE2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49E34016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zewnętrznego podnośnika hydraulicznego dla osób niepełnosprawnych i nowych schodów w miejsce istniejących zlokalizowanych po północno wschodniej stronie budynku. </w:t>
      </w:r>
    </w:p>
    <w:p w14:paraId="2E1E587F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Do piwnic projektuje się nowe schody zewnętrzne o parametrach dostosowanych do obecnych wymogów. </w:t>
      </w:r>
    </w:p>
    <w:p w14:paraId="5D35C512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Układ funkcjonalny piwnic ma służyć nowej funkcji magazynowej. </w:t>
      </w:r>
    </w:p>
    <w:p w14:paraId="72D62192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Przebudowie podlega również poziom parteru, na którym projektuje się niewielkie wyburzenia ścian i wykonanie nowych, tworząc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w ten sposób nową strefę wejściową z holem, kasami i toaletami ogólnodostępnymi. </w:t>
      </w:r>
    </w:p>
    <w:p w14:paraId="1BD2DCAC" w14:textId="77777777" w:rsidR="00392CEC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izolacji termicznej „skosów dachowych” od zewnątrz po zrzuceniu pokrycia dachowego z zastosowaniem nowoczesnej izolacji. </w:t>
      </w:r>
    </w:p>
    <w:p w14:paraId="03686511" w14:textId="77777777" w:rsidR="00392CEC" w:rsidRPr="00DA59D2" w:rsidRDefault="00392CEC" w:rsidP="00392CEC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liczne wzmocnienia i wymiany elementów konstrukcyjnych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2E98">
        <w:rPr>
          <w:rFonts w:asciiTheme="minorHAnsi" w:hAnsiTheme="minorHAnsi" w:cstheme="minorHAnsi"/>
          <w:sz w:val="20"/>
          <w:szCs w:val="20"/>
        </w:rPr>
        <w:t xml:space="preserve"> głównie stropów.</w:t>
      </w:r>
    </w:p>
    <w:p w14:paraId="56F9E197" w14:textId="77777777" w:rsidR="00392CEC" w:rsidRPr="00DA59D2" w:rsidRDefault="00392CEC" w:rsidP="00392CEC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B504255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610DA6F8" w14:textId="77777777" w:rsidR="00392CE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Odnowieniu podlegać będą ściany nośne i działowe  zgodnie z wytycznymi programu konserwatorskiego remontu,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 bez zmian. </w:t>
      </w:r>
    </w:p>
    <w:p w14:paraId="63CB6E1B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Projektowane ściany działowe na parterze przewidziano w zabudowie lekkiej z płyt gipso</w:t>
      </w:r>
      <w:r>
        <w:rPr>
          <w:rFonts w:asciiTheme="minorHAnsi" w:hAnsiTheme="minorHAnsi" w:cstheme="minorHAnsi"/>
          <w:sz w:val="20"/>
          <w:szCs w:val="20"/>
        </w:rPr>
        <w:t xml:space="preserve">wo </w:t>
      </w:r>
      <w:r w:rsidRPr="00492E9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>kartonowych i izolacją akustyczną oraz przystosowane do zawieszenia białego montażu.</w:t>
      </w:r>
    </w:p>
    <w:p w14:paraId="0E4BDEDF" w14:textId="727D4349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Stropy między kondygnacjami</w:t>
      </w:r>
      <w:r w:rsidR="00B861C4">
        <w:rPr>
          <w:rFonts w:asciiTheme="minorHAnsi" w:hAnsiTheme="minorHAnsi" w:cstheme="minorHAnsi"/>
          <w:sz w:val="20"/>
          <w:szCs w:val="20"/>
        </w:rPr>
        <w:t>:</w:t>
      </w:r>
      <w:r w:rsidRPr="00492E98">
        <w:rPr>
          <w:rFonts w:asciiTheme="minorHAnsi" w:hAnsiTheme="minorHAnsi" w:cstheme="minorHAnsi"/>
          <w:sz w:val="20"/>
          <w:szCs w:val="20"/>
        </w:rPr>
        <w:t xml:space="preserve"> istniejące drewniane, belkowe do wzmocnienia. </w:t>
      </w:r>
    </w:p>
    <w:p w14:paraId="0FB1DB6B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wymianę  podłóg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(parkiet i deski) wraz z wprowadzeniem warstwy akustycznej i termicznej. </w:t>
      </w:r>
    </w:p>
    <w:p w14:paraId="353B5982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Należy wykonać przewody wentylacji (wspomaganej mechanicznie) z pomieszczeń toalet na parterze za pomocą rur zgodnie z projektami branżowymi.</w:t>
      </w:r>
    </w:p>
    <w:p w14:paraId="40E5AE90" w14:textId="0F6791D1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Istniejąca stolarka okienna</w:t>
      </w:r>
      <w:r w:rsidR="00855A4A">
        <w:rPr>
          <w:rFonts w:asciiTheme="minorHAnsi" w:hAnsiTheme="minorHAnsi" w:cstheme="minorHAnsi"/>
          <w:sz w:val="20"/>
          <w:szCs w:val="20"/>
        </w:rPr>
        <w:t>:</w:t>
      </w:r>
      <w:r w:rsidRPr="00492E98">
        <w:rPr>
          <w:rFonts w:asciiTheme="minorHAnsi" w:hAnsiTheme="minorHAnsi" w:cstheme="minorHAnsi"/>
          <w:sz w:val="20"/>
          <w:szCs w:val="20"/>
        </w:rPr>
        <w:t xml:space="preserve"> drewniana  przeznaczona do odtworzenia na wzór istniejącej z zachowaniem  dotychczasowych rozwiązań konstrukcyjnych i dekoracyjnych w kolorze dostosowanym do istniejącej. </w:t>
      </w:r>
    </w:p>
    <w:p w14:paraId="46669817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Skrzydła wewnętrzne okienne przeznaczone do odnowy, remontu</w:t>
      </w:r>
      <w:r w:rsidRPr="00742C60">
        <w:rPr>
          <w:rFonts w:asciiTheme="minorHAnsi" w:hAnsiTheme="minorHAnsi" w:cstheme="minorHAnsi"/>
          <w:sz w:val="20"/>
          <w:szCs w:val="20"/>
        </w:rPr>
        <w:t>, najbardziej zniszczone do rekon</w:t>
      </w:r>
      <w:r w:rsidRPr="00E50886">
        <w:rPr>
          <w:rFonts w:asciiTheme="minorHAnsi" w:hAnsiTheme="minorHAnsi" w:cstheme="minorHAnsi"/>
          <w:sz w:val="20"/>
          <w:szCs w:val="20"/>
        </w:rPr>
        <w:t>strukcji na wzór istniejących z wykorzystaniem istniejących okuć.</w:t>
      </w:r>
    </w:p>
    <w:p w14:paraId="68E572A9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Drzwi wewnętrzne w strefie wejściowej do likwidacji, projektowane drzwi płytowe drewniane o wysokim standardzie wykonania. </w:t>
      </w:r>
    </w:p>
    <w:p w14:paraId="456CA219" w14:textId="77777777" w:rsidR="00392CEC" w:rsidRPr="00DA59D2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Na poddaszu drzwi istniejące do obustronnego</w:t>
      </w:r>
      <w:r w:rsidRPr="00742C60">
        <w:rPr>
          <w:rFonts w:asciiTheme="minorHAnsi" w:hAnsiTheme="minorHAnsi" w:cstheme="minorHAnsi"/>
          <w:sz w:val="20"/>
          <w:szCs w:val="20"/>
        </w:rPr>
        <w:t xml:space="preserve"> czyszczenia.</w:t>
      </w:r>
    </w:p>
    <w:p w14:paraId="739377B7" w14:textId="77777777" w:rsidR="00392CEC" w:rsidRPr="00DA59D2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B649120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5C207D52" w14:textId="77777777" w:rsidR="00392CE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fundamenty</w:t>
      </w:r>
      <w:r>
        <w:rPr>
          <w:rFonts w:asciiTheme="minorHAnsi" w:hAnsiTheme="minorHAnsi" w:cstheme="minorHAnsi"/>
          <w:sz w:val="20"/>
          <w:szCs w:val="20"/>
        </w:rPr>
        <w:t xml:space="preserve"> podlegać będą remontowi zgodnie z opracowaniem konstrukcyjnym i ekspertyzą techniczna (m.in.: uzupełnienie wyprawą tynkarską rys w</w:t>
      </w:r>
      <w:r w:rsidRPr="0046182C">
        <w:rPr>
          <w:rFonts w:asciiTheme="minorHAnsi" w:hAnsiTheme="minorHAnsi" w:cstheme="minorHAnsi"/>
          <w:sz w:val="20"/>
          <w:szCs w:val="20"/>
        </w:rPr>
        <w:t xml:space="preserve"> ścianach fundamentowych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 xml:space="preserve">skucie górnej części cokołu przy belce </w:t>
      </w:r>
      <w:proofErr w:type="spellStart"/>
      <w:r w:rsidRPr="0046182C">
        <w:rPr>
          <w:rFonts w:asciiTheme="minorHAnsi" w:hAnsiTheme="minorHAnsi" w:cstheme="minorHAnsi"/>
          <w:sz w:val="20"/>
          <w:szCs w:val="20"/>
        </w:rPr>
        <w:t>podwalinowej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wykonanie nowej obróbki blacharskiej na całym obwodzie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61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574A700" w14:textId="30625A36" w:rsidR="00392CEC" w:rsidRPr="0046182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 xml:space="preserve">Dodatkowo projektuje się fundamenty i ścianki żelbetowe z betonu architektonicznego </w:t>
      </w:r>
      <w:r w:rsidR="00CB124E" w:rsidRPr="0046182C">
        <w:rPr>
          <w:rFonts w:asciiTheme="minorHAnsi" w:hAnsiTheme="minorHAnsi" w:cstheme="minorHAnsi"/>
          <w:sz w:val="20"/>
          <w:szCs w:val="20"/>
        </w:rPr>
        <w:t>żelbetow</w:t>
      </w:r>
      <w:r w:rsidR="00CB124E">
        <w:rPr>
          <w:rFonts w:asciiTheme="minorHAnsi" w:hAnsiTheme="minorHAnsi" w:cstheme="minorHAnsi"/>
          <w:sz w:val="20"/>
          <w:szCs w:val="20"/>
        </w:rPr>
        <w:t>e</w:t>
      </w:r>
      <w:r w:rsidR="00CB124E" w:rsidRPr="0046182C">
        <w:rPr>
          <w:rFonts w:asciiTheme="minorHAnsi" w:hAnsiTheme="minorHAnsi" w:cstheme="minorHAnsi"/>
          <w:sz w:val="20"/>
          <w:szCs w:val="20"/>
        </w:rPr>
        <w:t xml:space="preserve">  </w:t>
      </w:r>
      <w:r w:rsidRPr="0046182C">
        <w:rPr>
          <w:rFonts w:asciiTheme="minorHAnsi" w:hAnsiTheme="minorHAnsi" w:cstheme="minorHAnsi"/>
          <w:sz w:val="20"/>
          <w:szCs w:val="20"/>
        </w:rPr>
        <w:t xml:space="preserve">zbrojenie wg projektu branży konstrukcyjnej. </w:t>
      </w:r>
    </w:p>
    <w:p w14:paraId="4737A0A3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piwniczne po odkopaniu i czyszczeniu przewiduje się do wykonania warstw termicznych i izolacyjnych z drenażem.</w:t>
      </w:r>
    </w:p>
    <w:p w14:paraId="3C1A6DCC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Ściany powyżej terenu podlegać będą czyszczeniu okładziny kamiennej, </w:t>
      </w:r>
      <w:proofErr w:type="spellStart"/>
      <w:r w:rsidRPr="00492E98">
        <w:rPr>
          <w:rFonts w:asciiTheme="minorHAnsi" w:hAnsiTheme="minorHAnsi" w:cstheme="minorHAnsi"/>
          <w:sz w:val="20"/>
          <w:szCs w:val="20"/>
        </w:rPr>
        <w:t>hydrofobizacji</w:t>
      </w:r>
      <w:proofErr w:type="spellEnd"/>
      <w:r w:rsidRPr="00492E98">
        <w:rPr>
          <w:rFonts w:asciiTheme="minorHAnsi" w:hAnsiTheme="minorHAnsi" w:cstheme="minorHAnsi"/>
          <w:sz w:val="20"/>
          <w:szCs w:val="20"/>
        </w:rPr>
        <w:t xml:space="preserve"> oraz wzmocnieniu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CF30A1E" w14:textId="2C70A030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Ściany parteru i poddasza I </w:t>
      </w:r>
      <w:proofErr w:type="spellStart"/>
      <w:r w:rsidRPr="00492E98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492E98">
        <w:rPr>
          <w:rFonts w:asciiTheme="minorHAnsi" w:hAnsiTheme="minorHAnsi" w:cstheme="minorHAnsi"/>
          <w:sz w:val="20"/>
          <w:szCs w:val="20"/>
        </w:rPr>
        <w:t xml:space="preserve"> II (istniejąc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92E98">
        <w:rPr>
          <w:rFonts w:asciiTheme="minorHAnsi" w:hAnsiTheme="minorHAnsi" w:cstheme="minorHAnsi"/>
          <w:sz w:val="20"/>
          <w:szCs w:val="20"/>
        </w:rPr>
        <w:t>) przewidziane są do czyszczenia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71EE3">
        <w:rPr>
          <w:rFonts w:asciiTheme="minorHAnsi" w:hAnsiTheme="minorHAnsi" w:cstheme="minorHAnsi"/>
          <w:sz w:val="20"/>
          <w:szCs w:val="20"/>
        </w:rPr>
        <w:t>(</w:t>
      </w:r>
      <w:r w:rsidRPr="00492E98">
        <w:rPr>
          <w:rFonts w:asciiTheme="minorHAnsi" w:hAnsiTheme="minorHAnsi" w:cstheme="minorHAnsi"/>
          <w:sz w:val="20"/>
          <w:szCs w:val="20"/>
        </w:rPr>
        <w:t xml:space="preserve">piaskowanie i szorowanie)  oraz  flekowania metodą drewno drewnem oraz wymianę całej wełnianki oraz impregnację zgodnie z programem konserwatorskim.  </w:t>
      </w:r>
    </w:p>
    <w:p w14:paraId="72D80706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Po zerwaniu podłóg na parterze przewiduje się docieplenie stropu parteru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92611F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wyburzenie zewnętrznych schodów do piwnicy i rozbiórkę stalowych na parter  od strony północnej  oraz wykonanie nowych w technologii żelbetowej. </w:t>
      </w:r>
    </w:p>
    <w:p w14:paraId="5EA4CA7C" w14:textId="5B6078F0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całkowitą wymi</w:t>
      </w:r>
      <w:r w:rsidR="00E8633D"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nę pokrycia dachu i systemu orynnowania wraz z czyszczeniem istniejącej więźby. </w:t>
      </w:r>
    </w:p>
    <w:p w14:paraId="72F8EA49" w14:textId="77777777" w:rsidR="00392CEC" w:rsidRPr="00C35781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Pokrycie  gontem łupanym lub modrzewiowym układanym na dubelt i impregnowanym metodą zanurzeniową środkami p. poż. i chroniącymi przed warunkami atmosferycznymi.   </w:t>
      </w:r>
    </w:p>
    <w:p w14:paraId="5240DA4B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wraz z warstwami ciepłochronnymi i przeciw wilgociowymi.</w:t>
      </w:r>
    </w:p>
    <w:p w14:paraId="1D035F1E" w14:textId="1F0C6AD4" w:rsidR="00392CE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Zakłada się wymi</w:t>
      </w:r>
      <w:r w:rsidR="00E8633D"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nę szalunków drewnianych szczytów w całości z zachowaniem detalu i ułożenia desek. Projektuje się również likwidację wtórnego okna w północno-wschodnim szczycie w pomieszczeniu ubikacji, wypełniając go szalunkiem. </w:t>
      </w:r>
    </w:p>
    <w:p w14:paraId="2564BCA5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 xml:space="preserve">Wszystkie drewniane ubytki </w:t>
      </w:r>
      <w:r>
        <w:rPr>
          <w:rFonts w:asciiTheme="minorHAnsi" w:hAnsiTheme="minorHAnsi" w:cstheme="minorHAnsi"/>
          <w:sz w:val="20"/>
          <w:szCs w:val="20"/>
        </w:rPr>
        <w:t xml:space="preserve">elementów zdobniczych </w:t>
      </w:r>
      <w:r w:rsidRPr="00492E98">
        <w:rPr>
          <w:rFonts w:asciiTheme="minorHAnsi" w:hAnsiTheme="minorHAnsi" w:cstheme="minorHAnsi"/>
          <w:sz w:val="20"/>
          <w:szCs w:val="20"/>
        </w:rPr>
        <w:t>na elewacj</w:t>
      </w:r>
      <w:r>
        <w:rPr>
          <w:rFonts w:asciiTheme="minorHAnsi" w:hAnsiTheme="minorHAnsi" w:cstheme="minorHAnsi"/>
          <w:sz w:val="20"/>
          <w:szCs w:val="20"/>
        </w:rPr>
        <w:t>ach należy uzupełnić metodą „drewno drewnem” (m.in.:</w:t>
      </w:r>
      <w:r w:rsidRPr="00492E98">
        <w:rPr>
          <w:rFonts w:asciiTheme="minorHAnsi" w:hAnsiTheme="minorHAnsi" w:cstheme="minorHAnsi"/>
          <w:sz w:val="20"/>
          <w:szCs w:val="20"/>
        </w:rPr>
        <w:t xml:space="preserve"> balustrada od podcienia po południowej stronie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92E98">
        <w:rPr>
          <w:rFonts w:asciiTheme="minorHAnsi" w:hAnsiTheme="minorHAnsi" w:cstheme="minorHAnsi"/>
          <w:sz w:val="20"/>
          <w:szCs w:val="20"/>
        </w:rPr>
        <w:t>szalunek od północy, koronki nad o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492E98">
        <w:rPr>
          <w:rFonts w:asciiTheme="minorHAnsi" w:hAnsiTheme="minorHAnsi" w:cstheme="minorHAnsi"/>
          <w:sz w:val="20"/>
          <w:szCs w:val="20"/>
        </w:rPr>
        <w:t>apami, kołkowania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4A5C901" w14:textId="77777777" w:rsidR="00392CEC" w:rsidRPr="00492E98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stolarki drzwiowej zewnętrznej przewidziana jest realizacja:  nowych drzwi w piwnicy (drzwi drewniane pełne z ociepleniem), poszerzenia oraz wymiany drzwi na parterze (wymiana na jednoskrzydłowe drzwi z zachowaniem pierwotnych podziałów). </w:t>
      </w:r>
    </w:p>
    <w:p w14:paraId="071CF4A6" w14:textId="77777777" w:rsidR="00392CE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Istniejąca stolarka okienna drewniana (skrzydła zewnętrzne) przeznaczona do odtworzenia na wzór istniejącej z zachowaniem  dotychczasowych rozwiązań konstrukcyjnych i dekoracyjnych w kolorze dostosowanym do istniejącej, z zastosowaniem szyb zespolonych i istniejących okuć.</w:t>
      </w:r>
    </w:p>
    <w:p w14:paraId="7CE22A24" w14:textId="77777777" w:rsidR="00392CEC" w:rsidRPr="00DA59D2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0B779CDE" w14:textId="77777777" w:rsidR="00392CEC" w:rsidRDefault="00392CEC" w:rsidP="00392CEC">
      <w:pPr>
        <w:pStyle w:val="Akapitzlist"/>
        <w:numPr>
          <w:ilvl w:val="2"/>
          <w:numId w:val="4"/>
        </w:num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06C9B8CF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Budynek posiada przyłącz wody, kanalizacji i elektryczny.</w:t>
      </w:r>
    </w:p>
    <w:p w14:paraId="03C38D9B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Produkcja ciepłej wody użytkowej będzie realizowana w układzie centralnym w projektowanym węźle cieplnym. </w:t>
      </w:r>
    </w:p>
    <w:p w14:paraId="001C33D3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W budynku przewiduje się instalację grzewczą grzejnikową wodną. Źródłem ciepła dla instalacji będzie wielofunkcyjny węzeł cieplny geotermalny. </w:t>
      </w:r>
    </w:p>
    <w:p w14:paraId="54FCE830" w14:textId="77777777" w:rsidR="00392CEC" w:rsidRPr="00E50886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Część pomieszczeń będzie wentylowana w układzie wentylacji mechanicznej </w:t>
      </w:r>
      <w:proofErr w:type="spellStart"/>
      <w:r w:rsidRPr="00E50886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E50886">
        <w:rPr>
          <w:rFonts w:asciiTheme="minorHAnsi" w:hAnsiTheme="minorHAnsi" w:cstheme="minorHAnsi"/>
          <w:sz w:val="20"/>
          <w:szCs w:val="20"/>
        </w:rPr>
        <w:t xml:space="preserve"> - wywiewnej.  oraz grawitacyjnej. </w:t>
      </w:r>
    </w:p>
    <w:p w14:paraId="05645EAC" w14:textId="294174AC" w:rsidR="00392CEC" w:rsidRPr="0046182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Przewiduje się przenośne urządzenia do utrzymania parametrów wilgotnościowych</w:t>
      </w:r>
      <w:r w:rsidR="00CB124E">
        <w:rPr>
          <w:rFonts w:asciiTheme="minorHAnsi" w:hAnsiTheme="minorHAnsi" w:cstheme="minorHAnsi"/>
          <w:sz w:val="20"/>
          <w:szCs w:val="20"/>
        </w:rPr>
        <w:t>.</w:t>
      </w:r>
    </w:p>
    <w:p w14:paraId="76909731" w14:textId="77777777" w:rsidR="00392CEC" w:rsidRPr="0046182C" w:rsidRDefault="00392CEC" w:rsidP="00392CEC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Zaprojektowano  </w:t>
      </w:r>
      <w:r w:rsidRPr="0046182C">
        <w:rPr>
          <w:rFonts w:asciiTheme="minorHAnsi" w:hAnsiTheme="minorHAnsi" w:cstheme="minorHAnsi"/>
          <w:sz w:val="20"/>
          <w:szCs w:val="20"/>
        </w:rPr>
        <w:t>modernizację i wymianę instalacji elektrycznych i słaboprądowych wraz z wymianą oświetlenia na ledowe.</w:t>
      </w:r>
    </w:p>
    <w:p w14:paraId="2405212C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3D65DE3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>Projekt aranżacji wnętrz dotyczy strefy wejściowej oraz ubikacji ogólnodostępnych  wraz z meblami stałymi</w:t>
      </w:r>
      <w:r>
        <w:rPr>
          <w:rFonts w:asciiTheme="minorHAnsi" w:hAnsiTheme="minorHAnsi" w:cstheme="minorHAnsi"/>
          <w:sz w:val="20"/>
          <w:szCs w:val="20"/>
        </w:rPr>
        <w:t xml:space="preserve"> (m.in.: </w:t>
      </w:r>
      <w:r w:rsidRPr="00DD4011">
        <w:rPr>
          <w:rFonts w:asciiTheme="minorHAnsi" w:hAnsiTheme="minorHAnsi" w:cstheme="minorHAnsi"/>
          <w:sz w:val="20"/>
          <w:szCs w:val="20"/>
        </w:rPr>
        <w:t>lad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 xml:space="preserve"> recepcyjn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>, regały sklepowe w strefie wejściowej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40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DCC38E" w14:textId="7ACFB6F3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aranżacji obejmujący toalety. Przewiduje się m.in.: ułożenie gresów rektyfikowanych, montaż oświetlenia.</w:t>
      </w:r>
    </w:p>
    <w:p w14:paraId="682EC089" w14:textId="2CC9133B" w:rsidR="00A61F71" w:rsidRDefault="00EC7489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aranżacji wystaw generalny wykonawca zobowiązany jest do </w:t>
      </w:r>
      <w:r w:rsidR="00A61F71">
        <w:rPr>
          <w:rFonts w:asciiTheme="minorHAnsi" w:hAnsiTheme="minorHAnsi" w:cstheme="minorHAnsi"/>
          <w:sz w:val="20"/>
          <w:szCs w:val="20"/>
        </w:rPr>
        <w:t xml:space="preserve">wyceny i wykonania następujących elementów wynikających z dokumentacji projektowej sporządzonej przez firmę ASC Studio </w:t>
      </w:r>
      <w:r w:rsidR="002C02C8">
        <w:rPr>
          <w:rFonts w:asciiTheme="minorHAnsi" w:hAnsiTheme="minorHAnsi" w:cstheme="minorHAnsi"/>
          <w:sz w:val="20"/>
          <w:szCs w:val="20"/>
        </w:rPr>
        <w:t>(firmę projektową, która stworzyła projekt aranżacji wystaw)</w:t>
      </w:r>
      <w:r w:rsidR="00593383">
        <w:rPr>
          <w:rFonts w:asciiTheme="minorHAnsi" w:hAnsiTheme="minorHAnsi" w:cstheme="minorHAnsi"/>
          <w:sz w:val="20"/>
          <w:szCs w:val="20"/>
        </w:rPr>
        <w:t>,</w:t>
      </w:r>
      <w:r w:rsidR="002C02C8">
        <w:rPr>
          <w:rFonts w:asciiTheme="minorHAnsi" w:hAnsiTheme="minorHAnsi" w:cstheme="minorHAnsi"/>
          <w:sz w:val="20"/>
          <w:szCs w:val="20"/>
        </w:rPr>
        <w:t xml:space="preserve"> </w:t>
      </w:r>
      <w:r w:rsidR="002A3CD0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2A3CD0">
        <w:rPr>
          <w:rFonts w:asciiTheme="minorHAnsi" w:hAnsiTheme="minorHAnsi" w:cstheme="minorHAnsi"/>
          <w:sz w:val="20"/>
          <w:szCs w:val="20"/>
        </w:rPr>
        <w:t>ę</w:t>
      </w:r>
      <w:r w:rsidR="002A3CD0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przyłączy:- elektrycznych do oświetlenia wewnętrznego gablot,</w:t>
      </w:r>
      <w:r w:rsidR="002A3CD0">
        <w:rPr>
          <w:rFonts w:asciiTheme="minorHAnsi" w:hAnsiTheme="minorHAnsi" w:cstheme="minorHAnsi"/>
          <w:sz w:val="20"/>
          <w:szCs w:val="20"/>
        </w:rPr>
        <w:t xml:space="preserve"> multimediów oraz </w:t>
      </w:r>
      <w:r w:rsidR="002A3CD0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2A3CD0">
        <w:rPr>
          <w:rFonts w:asciiTheme="minorHAnsi" w:hAnsiTheme="minorHAnsi" w:cstheme="minorHAnsi"/>
          <w:sz w:val="20"/>
          <w:szCs w:val="20"/>
        </w:rPr>
        <w:t>eksponatów. Po stronie wykonawcy leży także koordynacja (z przyszłym wykonawcą elementów aranżacji wystawy)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0DAA7B98" w14:textId="0A554686" w:rsidR="00EC7489" w:rsidRDefault="00A61F71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pozostałym zakresie generalny wykonawca będzie zobowiązany do </w:t>
      </w:r>
      <w:r w:rsidR="00EC7489">
        <w:rPr>
          <w:rFonts w:asciiTheme="minorHAnsi" w:hAnsiTheme="minorHAnsi" w:cstheme="minorHAnsi"/>
          <w:sz w:val="20"/>
          <w:szCs w:val="20"/>
        </w:rPr>
        <w:t xml:space="preserve">współpracy z osobno wyłonionym wykonawcą </w:t>
      </w:r>
      <w:r w:rsidR="00345BDD">
        <w:rPr>
          <w:rFonts w:asciiTheme="minorHAnsi" w:hAnsiTheme="minorHAnsi" w:cstheme="minorHAnsi"/>
          <w:sz w:val="20"/>
          <w:szCs w:val="20"/>
        </w:rPr>
        <w:t>wykonującym elementy aranżacji wystaw</w:t>
      </w:r>
      <w:r>
        <w:rPr>
          <w:rFonts w:asciiTheme="minorHAnsi" w:hAnsiTheme="minorHAnsi" w:cstheme="minorHAnsi"/>
          <w:sz w:val="20"/>
          <w:szCs w:val="20"/>
        </w:rPr>
        <w:t>, a także będzie zobowiązany uwzględniać przy realizacji robót to, że w przyszłości będzie konieczne ich wyposażenie zgodnie z dokumentacją projektową sporządzoną przez firmę ASC Studio</w:t>
      </w:r>
      <w:r w:rsidR="002A3CD0">
        <w:rPr>
          <w:rFonts w:asciiTheme="minorHAnsi" w:hAnsiTheme="minorHAnsi" w:cstheme="minorHAnsi"/>
          <w:sz w:val="20"/>
          <w:szCs w:val="20"/>
        </w:rPr>
        <w:t>.</w:t>
      </w:r>
      <w:r w:rsidR="004052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 szczególności w przypadku, gdy konieczne okazałoby się wykonanie rozwiązań zamiennych czy </w:t>
      </w:r>
      <w:proofErr w:type="spellStart"/>
      <w:r>
        <w:rPr>
          <w:rFonts w:asciiTheme="minorHAnsi" w:hAnsiTheme="minorHAnsi" w:cstheme="minorHAnsi"/>
          <w:sz w:val="20"/>
          <w:szCs w:val="20"/>
        </w:rPr>
        <w:t>odstąpień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 projektu budowlanego i/lub wykonawczego, generalny wykonawca powinien realizować te prace tak, aby nie utrudniły one w przyszłości wykonania prac związanych z aranżacją wystaw. W tym celu w niniejszym postępowaniu Zamawiający przekazuje wykonawcom do ich wiadomości całość dokumentacji projektowej dla aranżacji wystaw.</w:t>
      </w:r>
    </w:p>
    <w:p w14:paraId="527A257C" w14:textId="5BD8FEF0" w:rsidR="00A61F71" w:rsidRDefault="00A61F71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generalny wykonawca realizując roboty nie zapewni realizacji zgodnej z tym wymogiem, czym np. utrudni następnie wykonanie prac z zakresu wykonania i montażu elementów aranżacji wystaw, generalny wykonawca będzie zobowiązany do poprawienia tych prac na własny koszt i ryzyko.</w:t>
      </w:r>
    </w:p>
    <w:p w14:paraId="6F78E638" w14:textId="1F882643" w:rsidR="00345BDD" w:rsidRPr="00DD4011" w:rsidRDefault="00345BDD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Roboty związane z </w:t>
      </w:r>
      <w:r w:rsidR="00A24328">
        <w:rPr>
          <w:rFonts w:asciiTheme="minorHAnsi" w:hAnsiTheme="minorHAnsi" w:cstheme="minorHAnsi"/>
          <w:sz w:val="20"/>
          <w:szCs w:val="20"/>
        </w:rPr>
        <w:t>dostawą i montażem</w:t>
      </w:r>
      <w:r>
        <w:rPr>
          <w:rFonts w:asciiTheme="minorHAnsi" w:hAnsiTheme="minorHAnsi" w:cstheme="minorHAnsi"/>
          <w:sz w:val="20"/>
          <w:szCs w:val="20"/>
        </w:rPr>
        <w:t xml:space="preserve"> elementów aranżacji wystaw (gabloty, podłączenie oświetlenia oraz instalacji elektrycznej wg. potrzeb)</w:t>
      </w:r>
      <w:r w:rsidR="00A61F71">
        <w:rPr>
          <w:rFonts w:asciiTheme="minorHAnsi" w:hAnsiTheme="minorHAnsi" w:cstheme="minorHAnsi"/>
          <w:sz w:val="20"/>
          <w:szCs w:val="20"/>
        </w:rPr>
        <w:t>, za wyjątkiem robót wyraźnie wskazanych jako będące do wykonania przez generalnego wykonawcę, będzie realizowana przez osob</w:t>
      </w:r>
      <w:r w:rsidR="00AD5AC1">
        <w:rPr>
          <w:rFonts w:asciiTheme="minorHAnsi" w:hAnsiTheme="minorHAnsi" w:cstheme="minorHAnsi"/>
          <w:sz w:val="20"/>
          <w:szCs w:val="20"/>
        </w:rPr>
        <w:t>n</w:t>
      </w:r>
      <w:r w:rsidR="00A61F71">
        <w:rPr>
          <w:rFonts w:asciiTheme="minorHAnsi" w:hAnsiTheme="minorHAnsi" w:cstheme="minorHAnsi"/>
          <w:sz w:val="20"/>
          <w:szCs w:val="20"/>
        </w:rPr>
        <w:t>o wyłonionego wykonawcę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843E805" w14:textId="77777777" w:rsidR="00392CEC" w:rsidRPr="00DA59D2" w:rsidRDefault="00392CEC" w:rsidP="00392CEC">
      <w:pPr>
        <w:pStyle w:val="Akapitzlist"/>
        <w:numPr>
          <w:ilvl w:val="2"/>
          <w:numId w:val="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4028E328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>Projektuje się usunięcie  większości samosiewów</w:t>
      </w:r>
      <w:r>
        <w:rPr>
          <w:rFonts w:asciiTheme="minorHAnsi" w:hAnsiTheme="minorHAnsi" w:cstheme="minorHAnsi"/>
          <w:sz w:val="20"/>
          <w:szCs w:val="20"/>
        </w:rPr>
        <w:t xml:space="preserve">, zmniejszenie zwarcia poprzez wycinkę i wprowadzenie nowych </w:t>
      </w:r>
      <w:proofErr w:type="spellStart"/>
      <w:r>
        <w:rPr>
          <w:rFonts w:asciiTheme="minorHAnsi" w:hAnsiTheme="minorHAnsi" w:cstheme="minorHAnsi"/>
          <w:sz w:val="20"/>
          <w:szCs w:val="20"/>
        </w:rPr>
        <w:t>nasadzeń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9F391D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Wprowadza się swobodny żywopłot z krzewów (w</w:t>
      </w:r>
      <w:r w:rsidRPr="00D76CAE">
        <w:rPr>
          <w:rFonts w:asciiTheme="minorHAnsi" w:hAnsiTheme="minorHAnsi" w:cstheme="minorHAnsi"/>
          <w:sz w:val="20"/>
          <w:szCs w:val="20"/>
        </w:rPr>
        <w:t>zdłuż drogi do willi</w:t>
      </w:r>
      <w:r>
        <w:rPr>
          <w:rFonts w:asciiTheme="minorHAnsi" w:hAnsiTheme="minorHAnsi" w:cstheme="minorHAnsi"/>
          <w:sz w:val="20"/>
          <w:szCs w:val="20"/>
        </w:rPr>
        <w:t>) oraz żywopłoty formowane (od strony południowej).</w:t>
      </w:r>
    </w:p>
    <w:p w14:paraId="265F0798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 xml:space="preserve">Na rondzie przed budynkiem zaprojektowano do wykonania kompozycję z kosodrzewiny. </w:t>
      </w:r>
    </w:p>
    <w:p w14:paraId="26B32803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nowe nasadzenia</w:t>
      </w:r>
      <w:r w:rsidRPr="00D76CAE">
        <w:rPr>
          <w:rFonts w:asciiTheme="minorHAnsi" w:hAnsiTheme="minorHAnsi" w:cstheme="minorHAnsi"/>
          <w:sz w:val="20"/>
          <w:szCs w:val="20"/>
        </w:rPr>
        <w:t xml:space="preserve"> z wierzby</w:t>
      </w:r>
      <w:r>
        <w:rPr>
          <w:rFonts w:asciiTheme="minorHAnsi" w:hAnsiTheme="minorHAnsi" w:cstheme="minorHAnsi"/>
          <w:sz w:val="20"/>
          <w:szCs w:val="20"/>
        </w:rPr>
        <w:t xml:space="preserve"> oraz kaliny.</w:t>
      </w:r>
    </w:p>
    <w:p w14:paraId="4212D41B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675FE18E" w14:textId="77777777" w:rsidR="00392CEC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645CE4F1" w14:textId="77777777" w:rsidR="00392CEC" w:rsidRPr="00DA59D2" w:rsidRDefault="00392CEC" w:rsidP="00392CEC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5AC7E204" w14:textId="77777777" w:rsidR="00392CEC" w:rsidRPr="00DA59D2" w:rsidRDefault="00392CEC" w:rsidP="00392CEC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znajduje się w projekcie budowlanym i wykonawczym, a także w projektach aranżacji wnętrz i wystaw, dostępnymi do wglądu na terenie siedziby Muzeum Tatrzańskiego w Zakopanem. </w:t>
      </w:r>
    </w:p>
    <w:p w14:paraId="6888FD5E" w14:textId="77777777" w:rsidR="00392CEC" w:rsidRPr="00DA59D2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budynku: </w:t>
      </w:r>
    </w:p>
    <w:p w14:paraId="6A6CF1C9" w14:textId="77777777" w:rsidR="00392CEC" w:rsidRPr="005E3299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7084A8C6" w14:textId="77777777" w:rsidR="00392CEC" w:rsidRPr="005E3299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2C4B9E54" w14:textId="77777777" w:rsidR="00392CEC" w:rsidRPr="005E3299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6C05D3A8" w14:textId="77777777" w:rsidR="00392CEC" w:rsidRPr="005E3299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3695B763" w14:textId="77777777" w:rsidR="00392CEC" w:rsidRPr="00DA59D2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4D4FCE9E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4FECA73F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maja 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Inwestor, znaleziska są własnością Inwestora;</w:t>
      </w:r>
    </w:p>
    <w:p w14:paraId="3EA2821A" w14:textId="31DCEF99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 w:rsidR="00CB124E">
        <w:rPr>
          <w:rFonts w:asciiTheme="minorHAnsi" w:hAnsiTheme="minorHAnsi" w:cstheme="minorHAnsi"/>
          <w:sz w:val="20"/>
          <w:szCs w:val="20"/>
        </w:rPr>
        <w:t xml:space="preserve">całej </w:t>
      </w:r>
      <w:r>
        <w:rPr>
          <w:rFonts w:asciiTheme="minorHAnsi" w:hAnsiTheme="minorHAnsi" w:cstheme="minorHAnsi"/>
          <w:sz w:val="20"/>
          <w:szCs w:val="20"/>
        </w:rPr>
        <w:t xml:space="preserve">nieruchomości, na </w:t>
      </w:r>
      <w:r w:rsidR="00CB124E">
        <w:rPr>
          <w:rFonts w:asciiTheme="minorHAnsi" w:hAnsiTheme="minorHAnsi" w:cstheme="minorHAnsi"/>
          <w:sz w:val="20"/>
          <w:szCs w:val="20"/>
        </w:rPr>
        <w:t>której</w:t>
      </w:r>
      <w:r w:rsidR="00CB124E" w:rsidRPr="006F7D4B">
        <w:rPr>
          <w:rFonts w:asciiTheme="minorHAnsi" w:hAnsiTheme="minorHAnsi" w:cstheme="minorHAnsi"/>
          <w:sz w:val="20"/>
          <w:szCs w:val="20"/>
        </w:rPr>
        <w:t xml:space="preserve"> </w:t>
      </w:r>
      <w:r w:rsidRPr="006F7D4B">
        <w:rPr>
          <w:rFonts w:asciiTheme="minorHAnsi" w:hAnsiTheme="minorHAnsi" w:cstheme="minorHAnsi"/>
          <w:sz w:val="20"/>
          <w:szCs w:val="20"/>
        </w:rPr>
        <w:t>będą realizowane roboty, przez podmiot posiadający stosowne koncesje i ubezpieczenie od odpowiedzialności cywilnej w zakresie takiej działalności,</w:t>
      </w:r>
    </w:p>
    <w:p w14:paraId="11921D46" w14:textId="451274E7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7233476D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realizacji umowy na obiektach obowiązuje całkowity zakaz palenia wyrobów tytoniowych,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5C20511D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683991B" w14:textId="77777777" w:rsidR="00405256" w:rsidRPr="00405256" w:rsidRDefault="008A3A05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 xml:space="preserve">dokumentacja powykonawcza zostanie przez wykonawcę przedstawiona w 2 egzemplarzach papierowych oraz w wersji elektronicznej na nośniku CD/DVD.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03E07E7A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informacje na temat </w:t>
      </w:r>
      <w:r w:rsidR="005E1781">
        <w:rPr>
          <w:rFonts w:asciiTheme="minorHAnsi" w:hAnsiTheme="minorHAnsi" w:cstheme="minorHAnsi"/>
          <w:sz w:val="20"/>
          <w:szCs w:val="20"/>
        </w:rPr>
        <w:t>wbudowanych</w:t>
      </w:r>
      <w:r w:rsidR="005E1781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Pr="00405256">
        <w:rPr>
          <w:rFonts w:asciiTheme="minorHAnsi" w:hAnsiTheme="minorHAnsi" w:cstheme="minorHAnsi"/>
          <w:sz w:val="20"/>
          <w:szCs w:val="20"/>
        </w:rPr>
        <w:t>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433E56C9" w:rsidR="003B03DB" w:rsidRPr="00405256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5009419A" w14:textId="3448065A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23366E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/wymogi dla tablic wg aktualnych wytycznych Instytucji Finansującej/</w:t>
      </w:r>
      <w:r w:rsidRPr="00405256">
        <w:rPr>
          <w:rFonts w:asciiTheme="minorHAnsi" w:hAnsiTheme="minorHAnsi" w:cstheme="minorHAnsi"/>
          <w:sz w:val="20"/>
          <w:szCs w:val="20"/>
        </w:rPr>
        <w:t xml:space="preserve">. Wykonawca będzie ponadto zobowiązany do zapewnienia innych rodzajów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oznakowań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 budowy, o ile wymóg taki będzie wynikać z przepisów prawa,</w:t>
      </w:r>
    </w:p>
    <w:p w14:paraId="09C182FC" w14:textId="77745561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5541CF6E" w14:textId="4A2877F2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z postanowieniami umów o dofinansowanie projektów, w ramach których realizowane </w:t>
      </w:r>
      <w:r w:rsidR="0023366E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405256">
        <w:rPr>
          <w:rFonts w:asciiTheme="minorHAnsi" w:hAnsiTheme="minorHAnsi" w:cstheme="minorHAnsi"/>
          <w:sz w:val="20"/>
          <w:szCs w:val="20"/>
        </w:rPr>
        <w:t>,</w:t>
      </w:r>
    </w:p>
    <w:p w14:paraId="2F91A4EA" w14:textId="23FA083D" w:rsidR="00405256" w:rsidRPr="00405256" w:rsidRDefault="000A37C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wykonać i zamontować na czas realizacji robót na </w:t>
      </w:r>
      <w:r w:rsidR="00AD3053" w:rsidRPr="00405256">
        <w:rPr>
          <w:rFonts w:asciiTheme="minorHAnsi" w:hAnsiTheme="minorHAnsi" w:cstheme="minorHAnsi"/>
          <w:sz w:val="20"/>
          <w:szCs w:val="20"/>
        </w:rPr>
        <w:t>elewacj</w:t>
      </w:r>
      <w:r w:rsidR="00AD3053">
        <w:rPr>
          <w:rFonts w:asciiTheme="minorHAnsi" w:hAnsiTheme="minorHAnsi" w:cstheme="minorHAnsi"/>
          <w:sz w:val="20"/>
          <w:szCs w:val="20"/>
        </w:rPr>
        <w:t>i</w:t>
      </w:r>
      <w:r w:rsidR="00AD3053" w:rsidRPr="00405256">
        <w:rPr>
          <w:rFonts w:asciiTheme="minorHAnsi" w:hAnsiTheme="minorHAnsi" w:cstheme="minorHAnsi"/>
          <w:sz w:val="20"/>
          <w:szCs w:val="20"/>
        </w:rPr>
        <w:t xml:space="preserve"> frontow</w:t>
      </w:r>
      <w:r w:rsidR="00AD3053">
        <w:rPr>
          <w:rFonts w:asciiTheme="minorHAnsi" w:hAnsiTheme="minorHAnsi" w:cstheme="minorHAnsi"/>
          <w:sz w:val="20"/>
          <w:szCs w:val="20"/>
        </w:rPr>
        <w:t>ej</w:t>
      </w:r>
      <w:r w:rsidR="00AD3053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Pr="00405256">
        <w:rPr>
          <w:rFonts w:asciiTheme="minorHAnsi" w:hAnsiTheme="minorHAnsi" w:cstheme="minorHAnsi"/>
          <w:sz w:val="20"/>
          <w:szCs w:val="20"/>
        </w:rPr>
        <w:t xml:space="preserve">siatek zabezpieczających z nadrukiem przekazanym przez Zamawiającego </w:t>
      </w:r>
      <w:r w:rsidR="00392CEC" w:rsidRPr="00405256">
        <w:rPr>
          <w:rFonts w:asciiTheme="minorHAnsi" w:hAnsiTheme="minorHAnsi" w:cstheme="minorHAnsi"/>
          <w:sz w:val="20"/>
          <w:szCs w:val="20"/>
        </w:rPr>
        <w:t>(grafika zostanie przygotowana przez Muzeum na podstawie parametrów dostarczonych przez Wykonawcę robót.</w:t>
      </w:r>
      <w:r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5E1781">
        <w:rPr>
          <w:rFonts w:asciiTheme="minorHAnsi" w:hAnsiTheme="minorHAnsi" w:cstheme="minorHAnsi"/>
          <w:sz w:val="20"/>
          <w:szCs w:val="20"/>
        </w:rPr>
        <w:t>W</w:t>
      </w:r>
      <w:r w:rsidR="005E1781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Pr="00405256">
        <w:rPr>
          <w:rFonts w:asciiTheme="minorHAnsi" w:hAnsiTheme="minorHAnsi" w:cstheme="minorHAnsi"/>
          <w:sz w:val="20"/>
          <w:szCs w:val="20"/>
        </w:rPr>
        <w:t xml:space="preserve">grafice na wniosek </w:t>
      </w:r>
      <w:r w:rsidRPr="00405256">
        <w:rPr>
          <w:rFonts w:asciiTheme="minorHAnsi" w:hAnsiTheme="minorHAnsi" w:cstheme="minorHAnsi"/>
          <w:sz w:val="20"/>
          <w:szCs w:val="20"/>
        </w:rPr>
        <w:lastRenderedPageBreak/>
        <w:t>Wykonawcy będzie możliwe umieszczenie logotypu i nazwy wykonawcy, jako generalnego wykonawcy inwestycji)</w:t>
      </w:r>
      <w:r w:rsidR="00405256">
        <w:rPr>
          <w:rFonts w:asciiTheme="minorHAnsi" w:hAnsiTheme="minorHAnsi" w:cstheme="minorHAnsi"/>
          <w:sz w:val="20"/>
          <w:szCs w:val="20"/>
        </w:rPr>
        <w:t>.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B0ECE4" w14:textId="21355BA2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>, a także będzie zobowiązany do realizacji prac z zachowaniem wszelkich obowiązków wynikających z przepisów prawa, w tym związanych z zachowaniem porządku, czystości, bezpieczeństwa i higieny pracy, utylizacji odpadów, odprowadzania ścieków itp.</w:t>
      </w:r>
    </w:p>
    <w:p w14:paraId="6A77C61A" w14:textId="7B4DA021" w:rsidR="00392CEC" w:rsidRPr="005423B5" w:rsidRDefault="009C3149" w:rsidP="00405256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A332" w14:textId="77777777" w:rsidR="00B704AA" w:rsidRDefault="00B704AA" w:rsidP="00B5162D">
      <w:r>
        <w:separator/>
      </w:r>
    </w:p>
  </w:endnote>
  <w:endnote w:type="continuationSeparator" w:id="0">
    <w:p w14:paraId="0EE259F8" w14:textId="77777777" w:rsidR="00B704AA" w:rsidRDefault="00B704AA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E914" w14:textId="77777777" w:rsidR="00B704AA" w:rsidRDefault="00B704AA" w:rsidP="00B5162D">
      <w:r>
        <w:separator/>
      </w:r>
    </w:p>
  </w:footnote>
  <w:footnote w:type="continuationSeparator" w:id="0">
    <w:p w14:paraId="6038BC4F" w14:textId="77777777" w:rsidR="00B704AA" w:rsidRDefault="00B704AA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B5162D" w:rsidRDefault="00B5162D" w:rsidP="00B5162D">
    <w:pPr>
      <w:pStyle w:val="Nagwek"/>
    </w:pPr>
  </w:p>
  <w:p w14:paraId="06A53BAB" w14:textId="0BEEB6FD" w:rsidR="00B5162D" w:rsidRPr="00B5162D" w:rsidRDefault="00B5162D" w:rsidP="00B5162D">
    <w:pPr>
      <w:pStyle w:val="Nagwek"/>
    </w:pPr>
    <w:r>
      <w:rPr>
        <w:noProof/>
      </w:rPr>
      <w:drawing>
        <wp:inline distT="0" distB="0" distL="0" distR="0" wp14:anchorId="5FEEAD4C" wp14:editId="627B2EF3">
          <wp:extent cx="5753100" cy="6477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FD250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0865C5C"/>
    <w:multiLevelType w:val="hybridMultilevel"/>
    <w:tmpl w:val="1AA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5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41FBC"/>
    <w:rsid w:val="00047F65"/>
    <w:rsid w:val="000962B6"/>
    <w:rsid w:val="000A37C5"/>
    <w:rsid w:val="001102D8"/>
    <w:rsid w:val="0013355A"/>
    <w:rsid w:val="00145A15"/>
    <w:rsid w:val="001A77D4"/>
    <w:rsid w:val="00205AAF"/>
    <w:rsid w:val="0023366E"/>
    <w:rsid w:val="002559FE"/>
    <w:rsid w:val="00257582"/>
    <w:rsid w:val="002615B3"/>
    <w:rsid w:val="00277979"/>
    <w:rsid w:val="00280CD8"/>
    <w:rsid w:val="002A3CD0"/>
    <w:rsid w:val="002B173C"/>
    <w:rsid w:val="002C02C8"/>
    <w:rsid w:val="002D3766"/>
    <w:rsid w:val="00300588"/>
    <w:rsid w:val="003152BF"/>
    <w:rsid w:val="00316AC1"/>
    <w:rsid w:val="00341BE8"/>
    <w:rsid w:val="00345BDD"/>
    <w:rsid w:val="00392CEC"/>
    <w:rsid w:val="003A7368"/>
    <w:rsid w:val="003B03DB"/>
    <w:rsid w:val="00405256"/>
    <w:rsid w:val="00415F0D"/>
    <w:rsid w:val="00417F6D"/>
    <w:rsid w:val="0045697E"/>
    <w:rsid w:val="004A3985"/>
    <w:rsid w:val="004D42E6"/>
    <w:rsid w:val="004D5559"/>
    <w:rsid w:val="00502262"/>
    <w:rsid w:val="0053709D"/>
    <w:rsid w:val="0054388C"/>
    <w:rsid w:val="00575B20"/>
    <w:rsid w:val="00593383"/>
    <w:rsid w:val="00594DE5"/>
    <w:rsid w:val="005B3429"/>
    <w:rsid w:val="005C6189"/>
    <w:rsid w:val="005D3745"/>
    <w:rsid w:val="005D4ACA"/>
    <w:rsid w:val="005E1781"/>
    <w:rsid w:val="00601CE3"/>
    <w:rsid w:val="00644E49"/>
    <w:rsid w:val="00664F8E"/>
    <w:rsid w:val="006E21BA"/>
    <w:rsid w:val="006F7D4B"/>
    <w:rsid w:val="00703D59"/>
    <w:rsid w:val="00733B5A"/>
    <w:rsid w:val="007344D9"/>
    <w:rsid w:val="00776934"/>
    <w:rsid w:val="00784C70"/>
    <w:rsid w:val="007E3FCC"/>
    <w:rsid w:val="008156F8"/>
    <w:rsid w:val="008257A3"/>
    <w:rsid w:val="00855A4A"/>
    <w:rsid w:val="00874E22"/>
    <w:rsid w:val="0089704D"/>
    <w:rsid w:val="008A3A05"/>
    <w:rsid w:val="008C7AC3"/>
    <w:rsid w:val="008D6BD8"/>
    <w:rsid w:val="0091065E"/>
    <w:rsid w:val="009327AB"/>
    <w:rsid w:val="0094660F"/>
    <w:rsid w:val="009732DB"/>
    <w:rsid w:val="009C3149"/>
    <w:rsid w:val="009C4CF0"/>
    <w:rsid w:val="009F1771"/>
    <w:rsid w:val="00A02702"/>
    <w:rsid w:val="00A24328"/>
    <w:rsid w:val="00A60827"/>
    <w:rsid w:val="00A61F71"/>
    <w:rsid w:val="00A84FAD"/>
    <w:rsid w:val="00AA2E57"/>
    <w:rsid w:val="00AA6D0F"/>
    <w:rsid w:val="00AB7BA2"/>
    <w:rsid w:val="00AC726F"/>
    <w:rsid w:val="00AC7DD7"/>
    <w:rsid w:val="00AD1CA8"/>
    <w:rsid w:val="00AD3053"/>
    <w:rsid w:val="00AD5AC1"/>
    <w:rsid w:val="00AF12E2"/>
    <w:rsid w:val="00B25C07"/>
    <w:rsid w:val="00B27B36"/>
    <w:rsid w:val="00B37F66"/>
    <w:rsid w:val="00B4688C"/>
    <w:rsid w:val="00B5162D"/>
    <w:rsid w:val="00B672B6"/>
    <w:rsid w:val="00B704AA"/>
    <w:rsid w:val="00B71EE3"/>
    <w:rsid w:val="00B861C4"/>
    <w:rsid w:val="00BB702B"/>
    <w:rsid w:val="00C31CB6"/>
    <w:rsid w:val="00C82964"/>
    <w:rsid w:val="00CB124E"/>
    <w:rsid w:val="00CB6587"/>
    <w:rsid w:val="00D2006A"/>
    <w:rsid w:val="00D6001E"/>
    <w:rsid w:val="00DE290C"/>
    <w:rsid w:val="00E16292"/>
    <w:rsid w:val="00E52D41"/>
    <w:rsid w:val="00E8633D"/>
    <w:rsid w:val="00EC7489"/>
    <w:rsid w:val="00EE7BB2"/>
    <w:rsid w:val="00EF1924"/>
    <w:rsid w:val="00F56822"/>
    <w:rsid w:val="00F80CA5"/>
    <w:rsid w:val="00F87A29"/>
    <w:rsid w:val="00F87FBE"/>
    <w:rsid w:val="00F9478A"/>
    <w:rsid w:val="00FB35D6"/>
    <w:rsid w:val="00FC2717"/>
    <w:rsid w:val="00FC5D46"/>
    <w:rsid w:val="00FE733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ED35E"/>
  <w15:docId w15:val="{954E881C-59FC-4B45-AA7D-B52BCCE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5B5E-89DE-4CB0-A5A9-D8A4FEDF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2581</Words>
  <Characters>15487</Characters>
  <Application>Microsoft Office Word</Application>
  <DocSecurity>4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Inwestycje MT</dc:creator>
  <cp:lastModifiedBy>Inwestycje</cp:lastModifiedBy>
  <cp:revision>2</cp:revision>
  <dcterms:created xsi:type="dcterms:W3CDTF">2018-03-16T12:31:00Z</dcterms:created>
  <dcterms:modified xsi:type="dcterms:W3CDTF">2018-03-16T12:31:00Z</dcterms:modified>
</cp:coreProperties>
</file>