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280C88">
        <w:rPr>
          <w:rFonts w:cstheme="minorHAnsi"/>
          <w:bCs/>
          <w:sz w:val="20"/>
          <w:szCs w:val="20"/>
        </w:rPr>
        <w:t>specjalista ds. bezpieczeństwa i higieny pracy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280C88">
        <w:rPr>
          <w:rFonts w:cstheme="minorHAnsi"/>
          <w:bCs/>
          <w:sz w:val="20"/>
          <w:szCs w:val="20"/>
        </w:rPr>
        <w:t>09.07.2025</w:t>
      </w:r>
      <w:bookmarkStart w:id="0" w:name="_GoBack"/>
      <w:bookmarkEnd w:id="0"/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80C88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4A52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12</cp:revision>
  <dcterms:created xsi:type="dcterms:W3CDTF">2022-12-09T13:35:00Z</dcterms:created>
  <dcterms:modified xsi:type="dcterms:W3CDTF">2025-07-09T07:56:00Z</dcterms:modified>
</cp:coreProperties>
</file>